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1CF" w:rsidRDefault="003D51CF" w:rsidP="003D51CF">
      <w:pPr>
        <w:spacing w:after="0"/>
        <w:ind w:firstLine="0"/>
        <w:rPr>
          <w:b/>
          <w:lang w:val="en-GB"/>
        </w:rPr>
      </w:pPr>
    </w:p>
    <w:p w:rsidR="003D51CF" w:rsidRDefault="003D51CF" w:rsidP="003D51CF">
      <w:pPr>
        <w:spacing w:after="0"/>
        <w:ind w:firstLine="0"/>
        <w:rPr>
          <w:b/>
          <w:lang w:val="en-GB"/>
        </w:rPr>
      </w:pPr>
    </w:p>
    <w:p w:rsidR="008F611C" w:rsidRPr="00BB5E41" w:rsidRDefault="005629FB" w:rsidP="003D51CF">
      <w:pPr>
        <w:spacing w:after="0"/>
        <w:ind w:firstLine="0"/>
        <w:jc w:val="center"/>
        <w:rPr>
          <w:b/>
          <w:lang w:val="en-GB"/>
        </w:rPr>
      </w:pPr>
      <w:r w:rsidRPr="00BB5E41">
        <w:rPr>
          <w:b/>
          <w:lang w:val="en-GB"/>
        </w:rPr>
        <w:t>Daubert Case</w:t>
      </w:r>
    </w:p>
    <w:p w:rsidR="00BB5E41" w:rsidRDefault="00BB5E41" w:rsidP="003D51CF">
      <w:pPr>
        <w:spacing w:after="0"/>
        <w:ind w:firstLine="0"/>
        <w:jc w:val="center"/>
        <w:rPr>
          <w:lang w:val="en-GB"/>
        </w:rPr>
      </w:pPr>
    </w:p>
    <w:p w:rsidR="00BB5E41" w:rsidRDefault="00BB5E41" w:rsidP="003D51CF">
      <w:pPr>
        <w:spacing w:after="0"/>
        <w:ind w:firstLine="0"/>
        <w:jc w:val="center"/>
        <w:rPr>
          <w:lang w:val="en-GB"/>
        </w:rPr>
      </w:pPr>
    </w:p>
    <w:p w:rsidR="003D51CF" w:rsidRDefault="003D51CF" w:rsidP="003D51CF">
      <w:pPr>
        <w:spacing w:after="0"/>
        <w:ind w:firstLine="0"/>
        <w:jc w:val="center"/>
        <w:rPr>
          <w:lang w:val="en-GB"/>
        </w:rPr>
      </w:pPr>
    </w:p>
    <w:p w:rsidR="003D51CF" w:rsidRDefault="003D51CF" w:rsidP="003D51CF">
      <w:pPr>
        <w:spacing w:after="0"/>
        <w:ind w:firstLine="0"/>
        <w:jc w:val="center"/>
        <w:rPr>
          <w:lang w:val="en-GB"/>
        </w:rPr>
      </w:pPr>
    </w:p>
    <w:p w:rsidR="00BB5E41" w:rsidRDefault="005629FB" w:rsidP="003D51CF">
      <w:pPr>
        <w:spacing w:after="0"/>
        <w:ind w:firstLine="0"/>
        <w:jc w:val="center"/>
        <w:rPr>
          <w:lang w:val="en-GB"/>
        </w:rPr>
      </w:pPr>
      <w:r>
        <w:rPr>
          <w:lang w:val="en-GB"/>
        </w:rPr>
        <w:t>Name</w:t>
      </w:r>
    </w:p>
    <w:p w:rsidR="00BB5E41" w:rsidRDefault="005629FB" w:rsidP="003D51CF">
      <w:pPr>
        <w:spacing w:after="0"/>
        <w:ind w:firstLine="0"/>
        <w:jc w:val="center"/>
        <w:rPr>
          <w:lang w:val="en-GB"/>
        </w:rPr>
      </w:pPr>
      <w:r>
        <w:rPr>
          <w:lang w:val="en-GB"/>
        </w:rPr>
        <w:t>Institution of Affiliation</w:t>
      </w:r>
    </w:p>
    <w:p w:rsidR="003D51CF" w:rsidRDefault="003D51CF" w:rsidP="003D51CF">
      <w:pPr>
        <w:spacing w:after="0"/>
        <w:ind w:firstLine="0"/>
        <w:jc w:val="center"/>
        <w:rPr>
          <w:lang w:val="en-GB"/>
        </w:rPr>
      </w:pPr>
      <w:r>
        <w:rPr>
          <w:lang w:val="en-GB"/>
        </w:rPr>
        <w:t>Professor</w:t>
      </w:r>
    </w:p>
    <w:p w:rsidR="00BB5E41" w:rsidRDefault="005629FB" w:rsidP="003D51CF">
      <w:pPr>
        <w:spacing w:after="0"/>
        <w:ind w:firstLine="0"/>
        <w:jc w:val="center"/>
        <w:rPr>
          <w:lang w:val="en-GB"/>
        </w:rPr>
      </w:pPr>
      <w:r>
        <w:rPr>
          <w:lang w:val="en-GB"/>
        </w:rPr>
        <w:t>Date</w:t>
      </w: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3D51CF" w:rsidRDefault="003D51CF" w:rsidP="003D51CF">
      <w:pPr>
        <w:ind w:firstLine="0"/>
        <w:rPr>
          <w:lang w:val="en-GB"/>
        </w:rPr>
      </w:pPr>
    </w:p>
    <w:p w:rsidR="00BB5E41" w:rsidRPr="00166AEE" w:rsidRDefault="005629FB" w:rsidP="003D51CF">
      <w:pPr>
        <w:ind w:firstLine="0"/>
        <w:jc w:val="center"/>
        <w:rPr>
          <w:b/>
          <w:lang w:val="en-GB"/>
        </w:rPr>
      </w:pPr>
      <w:r w:rsidRPr="00166AEE">
        <w:rPr>
          <w:b/>
          <w:lang w:val="en-GB"/>
        </w:rPr>
        <w:lastRenderedPageBreak/>
        <w:t>Daubert Case</w:t>
      </w:r>
    </w:p>
    <w:p w:rsidR="002923EB" w:rsidRDefault="005629FB" w:rsidP="003D51CF">
      <w:pPr>
        <w:ind w:firstLine="720"/>
        <w:rPr>
          <w:lang w:val="en-GB"/>
        </w:rPr>
      </w:pPr>
      <w:r>
        <w:rPr>
          <w:lang w:val="en-GB"/>
        </w:rPr>
        <w:t xml:space="preserve">Daubert Case got its ruling in the Supreme </w:t>
      </w:r>
      <w:r w:rsidR="00166AEE">
        <w:rPr>
          <w:lang w:val="en-GB"/>
        </w:rPr>
        <w:t>Court</w:t>
      </w:r>
      <w:r>
        <w:rPr>
          <w:lang w:val="en-GB"/>
        </w:rPr>
        <w:t xml:space="preserve"> in 1993. The case was </w:t>
      </w:r>
      <w:r w:rsidR="00AD0BE5">
        <w:rPr>
          <w:lang w:val="en-GB"/>
        </w:rPr>
        <w:t>brought to court by two children</w:t>
      </w:r>
      <w:r w:rsidR="004C6373">
        <w:rPr>
          <w:lang w:val="en-GB"/>
        </w:rPr>
        <w:t>, Jason Daubert and Eric Schuller</w:t>
      </w:r>
      <w:r>
        <w:rPr>
          <w:lang w:val="en-GB"/>
        </w:rPr>
        <w:t xml:space="preserve"> born </w:t>
      </w:r>
      <w:r w:rsidR="00DE458F">
        <w:rPr>
          <w:lang w:val="en-GB"/>
        </w:rPr>
        <w:t>with a congenital</w:t>
      </w:r>
      <w:r w:rsidR="00AD0BE5">
        <w:rPr>
          <w:lang w:val="en-GB"/>
        </w:rPr>
        <w:t xml:space="preserve"> disorder</w:t>
      </w:r>
      <w:r>
        <w:rPr>
          <w:lang w:val="en-GB"/>
        </w:rPr>
        <w:t xml:space="preserve">. </w:t>
      </w:r>
      <w:r w:rsidR="004C6373">
        <w:rPr>
          <w:lang w:val="en-GB"/>
        </w:rPr>
        <w:t xml:space="preserve"> Accompanied by thei</w:t>
      </w:r>
      <w:r w:rsidR="005E28EF">
        <w:rPr>
          <w:lang w:val="en-GB"/>
        </w:rPr>
        <w:t>r parents, t</w:t>
      </w:r>
      <w:r>
        <w:rPr>
          <w:lang w:val="en-GB"/>
        </w:rPr>
        <w:t>he</w:t>
      </w:r>
      <w:r w:rsidR="00E15D13">
        <w:rPr>
          <w:lang w:val="en-GB"/>
        </w:rPr>
        <w:t>y argued that the disorders</w:t>
      </w:r>
      <w:r>
        <w:rPr>
          <w:lang w:val="en-GB"/>
        </w:rPr>
        <w:t xml:space="preserve"> resulted from the use of anti-nausea </w:t>
      </w:r>
      <w:r w:rsidR="007E2A73">
        <w:rPr>
          <w:lang w:val="en-GB"/>
        </w:rPr>
        <w:t>drug</w:t>
      </w:r>
      <w:r w:rsidR="00AD0BE5">
        <w:rPr>
          <w:lang w:val="en-GB"/>
        </w:rPr>
        <w:t xml:space="preserve"> known as Bendectin</w:t>
      </w:r>
      <w:r w:rsidR="004C049C">
        <w:rPr>
          <w:lang w:val="en-GB"/>
        </w:rPr>
        <w:t xml:space="preserve"> (</w:t>
      </w:r>
      <w:r w:rsidR="004C049C" w:rsidRPr="004C049C">
        <w:t>Abboud</w:t>
      </w:r>
      <w:r w:rsidR="004C049C">
        <w:t>, 2017)</w:t>
      </w:r>
      <w:r w:rsidR="00AD0BE5">
        <w:rPr>
          <w:lang w:val="en-GB"/>
        </w:rPr>
        <w:t>. During that time, Bendectin was the sole drug accepted</w:t>
      </w:r>
      <w:r>
        <w:rPr>
          <w:lang w:val="en-GB"/>
        </w:rPr>
        <w:t xml:space="preserve"> by the Fo</w:t>
      </w:r>
      <w:r w:rsidR="007B789E">
        <w:rPr>
          <w:lang w:val="en-GB"/>
        </w:rPr>
        <w:t>od and Drug administration that</w:t>
      </w:r>
      <w:r>
        <w:rPr>
          <w:lang w:val="en-GB"/>
        </w:rPr>
        <w:t xml:space="preserve"> could be administered to pregn</w:t>
      </w:r>
      <w:r w:rsidR="00AD0BE5">
        <w:rPr>
          <w:lang w:val="en-GB"/>
        </w:rPr>
        <w:t>ant women. Bendectin</w:t>
      </w:r>
      <w:r>
        <w:rPr>
          <w:lang w:val="en-GB"/>
        </w:rPr>
        <w:t xml:space="preserve"> had already been </w:t>
      </w:r>
      <w:r w:rsidR="00AD0BE5">
        <w:rPr>
          <w:lang w:val="en-GB"/>
        </w:rPr>
        <w:t>distributed to over 17 Million expectant mothers before it was removed from</w:t>
      </w:r>
      <w:r>
        <w:rPr>
          <w:lang w:val="en-GB"/>
        </w:rPr>
        <w:t xml:space="preserve"> the market. </w:t>
      </w:r>
    </w:p>
    <w:p w:rsidR="00BB5E41" w:rsidRDefault="003D51CF" w:rsidP="00BB5E41">
      <w:pPr>
        <w:rPr>
          <w:lang w:val="en-GB"/>
        </w:rPr>
      </w:pPr>
      <w:r>
        <w:rPr>
          <w:lang w:val="en-GB"/>
        </w:rPr>
        <w:tab/>
      </w:r>
      <w:r w:rsidR="005629FB">
        <w:rPr>
          <w:lang w:val="en-GB"/>
        </w:rPr>
        <w:t xml:space="preserve">The </w:t>
      </w:r>
      <w:r w:rsidR="00166AEE">
        <w:rPr>
          <w:lang w:val="en-GB"/>
        </w:rPr>
        <w:t>plaintiff’s</w:t>
      </w:r>
      <w:r w:rsidR="005E28EF">
        <w:rPr>
          <w:lang w:val="en-GB"/>
        </w:rPr>
        <w:t xml:space="preserve"> attorney argued that mothers</w:t>
      </w:r>
      <w:r w:rsidR="005629FB">
        <w:rPr>
          <w:lang w:val="en-GB"/>
        </w:rPr>
        <w:t xml:space="preserve"> of children who had taken the drug gave birth to children born with congenital disabilities. Extensive studies done by the pharmaceutical company</w:t>
      </w:r>
      <w:r w:rsidR="000C07AA">
        <w:rPr>
          <w:lang w:val="en-GB"/>
        </w:rPr>
        <w:t xml:space="preserve"> did not show the </w:t>
      </w:r>
      <w:r w:rsidR="00166AEE">
        <w:rPr>
          <w:lang w:val="en-GB"/>
        </w:rPr>
        <w:t>teratogenic effects</w:t>
      </w:r>
      <w:r w:rsidR="0039361F">
        <w:rPr>
          <w:lang w:val="en-GB"/>
        </w:rPr>
        <w:t xml:space="preserve"> of the drugs</w:t>
      </w:r>
      <w:r w:rsidR="005E28EF">
        <w:rPr>
          <w:lang w:val="en-GB"/>
        </w:rPr>
        <w:t>. However, the plaintiff who brought eight</w:t>
      </w:r>
      <w:r w:rsidR="007B789E">
        <w:rPr>
          <w:lang w:val="en-GB"/>
        </w:rPr>
        <w:t xml:space="preserve"> experts claimed</w:t>
      </w:r>
      <w:r w:rsidR="000C07AA">
        <w:rPr>
          <w:lang w:val="en-GB"/>
        </w:rPr>
        <w:t xml:space="preserve"> otherwise based</w:t>
      </w:r>
      <w:r w:rsidR="0039361F">
        <w:rPr>
          <w:lang w:val="en-GB"/>
        </w:rPr>
        <w:t xml:space="preserve"> on their findings which were from un</w:t>
      </w:r>
      <w:r w:rsidR="000C07AA">
        <w:rPr>
          <w:lang w:val="en-GB"/>
        </w:rPr>
        <w:t xml:space="preserve">reviewed and unpublished. </w:t>
      </w:r>
      <w:r w:rsidR="005E28EF">
        <w:rPr>
          <w:lang w:val="en-GB"/>
        </w:rPr>
        <w:t xml:space="preserve"> The opinions of the experts were based on human and animal studies as well as the chemical structure analysis</w:t>
      </w:r>
      <w:r w:rsidR="004C049C">
        <w:rPr>
          <w:lang w:val="en-GB"/>
        </w:rPr>
        <w:t xml:space="preserve"> (</w:t>
      </w:r>
      <w:r w:rsidR="004C049C" w:rsidRPr="004C049C">
        <w:t>Abboud</w:t>
      </w:r>
      <w:r w:rsidR="004C049C">
        <w:t>, 2017)</w:t>
      </w:r>
      <w:r w:rsidR="005E28EF">
        <w:rPr>
          <w:lang w:val="en-GB"/>
        </w:rPr>
        <w:t xml:space="preserve">. The court, however, failed to rule in favour of the plaintiff dues to insufficient evidence. Numerous appeals were made to the court of appeal in the district court of California. Finally, the case landed to the Supreme Court, which agreed to consider the expert testimony. </w:t>
      </w:r>
    </w:p>
    <w:p w:rsidR="002923EB" w:rsidRDefault="005629FB" w:rsidP="003D51CF">
      <w:pPr>
        <w:ind w:firstLine="720"/>
        <w:rPr>
          <w:lang w:val="en-GB"/>
        </w:rPr>
      </w:pPr>
      <w:r>
        <w:rPr>
          <w:lang w:val="en-GB"/>
        </w:rPr>
        <w:t>The Daubert case</w:t>
      </w:r>
      <w:r w:rsidR="00AD0BE5">
        <w:rPr>
          <w:lang w:val="en-GB"/>
        </w:rPr>
        <w:t xml:space="preserve"> wanted to establish</w:t>
      </w:r>
      <w:r w:rsidR="008F611C">
        <w:rPr>
          <w:lang w:val="en-GB"/>
        </w:rPr>
        <w:t xml:space="preserve"> if Bendectin, the</w:t>
      </w:r>
      <w:r w:rsidR="00AD0BE5">
        <w:rPr>
          <w:lang w:val="en-GB"/>
        </w:rPr>
        <w:t xml:space="preserve"> anti-nausea drug</w:t>
      </w:r>
      <w:r w:rsidR="008F611C">
        <w:rPr>
          <w:lang w:val="en-GB"/>
        </w:rPr>
        <w:t>, was responsible for the non-specified congenital disabilities. The challenge was thus</w:t>
      </w:r>
      <w:r w:rsidR="00B9267C">
        <w:rPr>
          <w:lang w:val="en-GB"/>
        </w:rPr>
        <w:t xml:space="preserve"> to establish</w:t>
      </w:r>
      <w:r w:rsidR="008F611C">
        <w:rPr>
          <w:lang w:val="en-GB"/>
        </w:rPr>
        <w:t xml:space="preserve"> the relationship between congenital disabilities and</w:t>
      </w:r>
      <w:r w:rsidR="007E2A73">
        <w:rPr>
          <w:lang w:val="en-GB"/>
        </w:rPr>
        <w:t xml:space="preserve"> the</w:t>
      </w:r>
      <w:r w:rsidR="00B9267C">
        <w:rPr>
          <w:lang w:val="en-GB"/>
        </w:rPr>
        <w:t xml:space="preserve"> medicine</w:t>
      </w:r>
      <w:r w:rsidR="004C049C">
        <w:rPr>
          <w:lang w:val="en-GB"/>
        </w:rPr>
        <w:t xml:space="preserve"> (</w:t>
      </w:r>
      <w:r w:rsidR="004C049C" w:rsidRPr="004C049C">
        <w:t>Abboud</w:t>
      </w:r>
      <w:r w:rsidR="004C049C">
        <w:t>, 2017)</w:t>
      </w:r>
      <w:r w:rsidR="00B9267C">
        <w:rPr>
          <w:lang w:val="en-GB"/>
        </w:rPr>
        <w:t>. Formal and reviewed scientific studies had already found no connection. The expert</w:t>
      </w:r>
      <w:r w:rsidR="0039361F">
        <w:rPr>
          <w:lang w:val="en-GB"/>
        </w:rPr>
        <w:t xml:space="preserve"> opinion</w:t>
      </w:r>
      <w:r w:rsidR="007E2A73">
        <w:rPr>
          <w:lang w:val="en-GB"/>
        </w:rPr>
        <w:t xml:space="preserve"> was</w:t>
      </w:r>
      <w:r w:rsidR="00B9267C">
        <w:rPr>
          <w:lang w:val="en-GB"/>
        </w:rPr>
        <w:t xml:space="preserve"> provided by the </w:t>
      </w:r>
      <w:r w:rsidR="00197CCB">
        <w:rPr>
          <w:lang w:val="en-GB"/>
        </w:rPr>
        <w:t>plaintiff</w:t>
      </w:r>
      <w:r w:rsidR="007E2A73">
        <w:rPr>
          <w:lang w:val="en-GB"/>
        </w:rPr>
        <w:t>’s side that</w:t>
      </w:r>
      <w:r w:rsidR="00B9267C">
        <w:rPr>
          <w:lang w:val="en-GB"/>
        </w:rPr>
        <w:t xml:space="preserve"> was experienced in</w:t>
      </w:r>
      <w:r w:rsidR="007B789E">
        <w:rPr>
          <w:lang w:val="en-GB"/>
        </w:rPr>
        <w:t xml:space="preserve"> such</w:t>
      </w:r>
      <w:r w:rsidR="00B9267C">
        <w:rPr>
          <w:lang w:val="en-GB"/>
        </w:rPr>
        <w:t xml:space="preserve"> studies both in training and experience. However, his method of analysis was not </w:t>
      </w:r>
      <w:r>
        <w:rPr>
          <w:lang w:val="en-GB"/>
        </w:rPr>
        <w:t>accepted</w:t>
      </w:r>
      <w:r w:rsidR="00B9267C">
        <w:rPr>
          <w:lang w:val="en-GB"/>
        </w:rPr>
        <w:t xml:space="preserve"> by other scientists and had not </w:t>
      </w:r>
      <w:r w:rsidR="00B9267C">
        <w:rPr>
          <w:lang w:val="en-GB"/>
        </w:rPr>
        <w:lastRenderedPageBreak/>
        <w:t>been su</w:t>
      </w:r>
      <w:r w:rsidR="007B789E">
        <w:rPr>
          <w:lang w:val="en-GB"/>
        </w:rPr>
        <w:t>bjected to peer-reviewed scrutiny</w:t>
      </w:r>
      <w:r w:rsidR="00B9267C">
        <w:rPr>
          <w:lang w:val="en-GB"/>
        </w:rPr>
        <w:t>. The trial court did include the evidence because it was unreliable.</w:t>
      </w:r>
    </w:p>
    <w:p w:rsidR="00BB5E41" w:rsidRDefault="003D51CF" w:rsidP="005E28EF">
      <w:pPr>
        <w:rPr>
          <w:lang w:val="en-GB"/>
        </w:rPr>
      </w:pPr>
      <w:r>
        <w:rPr>
          <w:lang w:val="en-GB"/>
        </w:rPr>
        <w:tab/>
      </w:r>
      <w:r w:rsidR="005629FB">
        <w:rPr>
          <w:lang w:val="en-GB"/>
        </w:rPr>
        <w:t>The prejudi</w:t>
      </w:r>
      <w:r w:rsidR="00AD0BE5">
        <w:rPr>
          <w:lang w:val="en-GB"/>
        </w:rPr>
        <w:t>cial jury was crucial</w:t>
      </w:r>
      <w:r w:rsidR="005629FB">
        <w:rPr>
          <w:lang w:val="en-GB"/>
        </w:rPr>
        <w:t xml:space="preserve"> in the Daubert case because of the emotional appeal it brought. The judge knew that if there were sufficient evidence regarding the case, it would be hard for the jury to rule against the plaintiff. Therefore, the</w:t>
      </w:r>
      <w:r w:rsidR="00A26D6E">
        <w:rPr>
          <w:lang w:val="en-GB"/>
        </w:rPr>
        <w:t>re arose a special duty of ensuring the plaintiff evidence was valid scientifically.</w:t>
      </w:r>
      <w:r w:rsidR="002923EB">
        <w:rPr>
          <w:lang w:val="en-GB"/>
        </w:rPr>
        <w:t xml:space="preserve">Previous </w:t>
      </w:r>
      <w:r w:rsidR="00375EAD">
        <w:rPr>
          <w:lang w:val="en-GB"/>
        </w:rPr>
        <w:t>plaintiffs</w:t>
      </w:r>
      <w:r w:rsidR="002923EB">
        <w:rPr>
          <w:lang w:val="en-GB"/>
        </w:rPr>
        <w:t xml:space="preserve"> were not successful in the la</w:t>
      </w:r>
      <w:r w:rsidR="00730E97">
        <w:rPr>
          <w:lang w:val="en-GB"/>
        </w:rPr>
        <w:t>wsuit against Bendectin, but since</w:t>
      </w:r>
      <w:r w:rsidR="0042556B">
        <w:rPr>
          <w:lang w:val="en-GB"/>
        </w:rPr>
        <w:t xml:space="preserve"> </w:t>
      </w:r>
      <w:r w:rsidR="00375EAD">
        <w:rPr>
          <w:lang w:val="en-GB"/>
        </w:rPr>
        <w:t>defence</w:t>
      </w:r>
      <w:r w:rsidR="0042556B">
        <w:rPr>
          <w:lang w:val="en-GB"/>
        </w:rPr>
        <w:t xml:space="preserve"> </w:t>
      </w:r>
      <w:r w:rsidR="00730E97">
        <w:rPr>
          <w:lang w:val="en-GB"/>
        </w:rPr>
        <w:t>costs were increasing</w:t>
      </w:r>
      <w:r w:rsidR="002923EB">
        <w:rPr>
          <w:lang w:val="en-GB"/>
        </w:rPr>
        <w:t xml:space="preserve"> the pharmaceutical company decided to take the drug off the market</w:t>
      </w:r>
      <w:r w:rsidR="004C049C">
        <w:rPr>
          <w:lang w:val="en-GB"/>
        </w:rPr>
        <w:t xml:space="preserve"> (</w:t>
      </w:r>
      <w:r w:rsidR="004C049C" w:rsidRPr="004C049C">
        <w:t>Hawkins</w:t>
      </w:r>
      <w:r w:rsidR="004C049C">
        <w:t>, 2017)</w:t>
      </w:r>
      <w:r w:rsidR="002923EB">
        <w:rPr>
          <w:lang w:val="en-GB"/>
        </w:rPr>
        <w:t>. The plaintiff</w:t>
      </w:r>
      <w:r w:rsidR="00730E97">
        <w:rPr>
          <w:lang w:val="en-GB"/>
        </w:rPr>
        <w:t>s</w:t>
      </w:r>
      <w:r w:rsidR="002923EB">
        <w:rPr>
          <w:lang w:val="en-GB"/>
        </w:rPr>
        <w:t xml:space="preserve"> assumed that they would eventually get a huge settlement from the case because they would win</w:t>
      </w:r>
      <w:r w:rsidR="00730E97">
        <w:rPr>
          <w:lang w:val="en-GB"/>
        </w:rPr>
        <w:t>.</w:t>
      </w:r>
    </w:p>
    <w:p w:rsidR="0039361F" w:rsidRDefault="005629FB" w:rsidP="003D51CF">
      <w:pPr>
        <w:ind w:firstLine="720"/>
        <w:rPr>
          <w:lang w:val="en-GB"/>
        </w:rPr>
      </w:pPr>
      <w:r>
        <w:rPr>
          <w:lang w:val="en-GB"/>
        </w:rPr>
        <w:t>The Daubert case ruling thus changed the rules that existed in court cases when it comes to the admission of scientific evidence. Daubert challenged the trial judges to be gatekeepers of the scientific</w:t>
      </w:r>
      <w:r w:rsidR="007B789E">
        <w:rPr>
          <w:lang w:val="en-GB"/>
        </w:rPr>
        <w:t xml:space="preserve"> evidence. Trial judges were entrusted with</w:t>
      </w:r>
      <w:r>
        <w:rPr>
          <w:lang w:val="en-GB"/>
        </w:rPr>
        <w:t xml:space="preserve"> the responsibility of </w:t>
      </w:r>
      <w:r w:rsidR="00375EAD">
        <w:rPr>
          <w:lang w:val="en-GB"/>
        </w:rPr>
        <w:t>ensuring</w:t>
      </w:r>
      <w:r>
        <w:rPr>
          <w:lang w:val="en-GB"/>
        </w:rPr>
        <w:t xml:space="preserve"> that they look at evidence brought objectively and determine if the evidence was reliable and relevant to the case brought before the </w:t>
      </w:r>
      <w:r w:rsidR="007E2A73">
        <w:rPr>
          <w:lang w:val="en-GB"/>
        </w:rPr>
        <w:t>court (</w:t>
      </w:r>
      <w:r w:rsidR="004C049C" w:rsidRPr="004C049C">
        <w:t>Hawkins</w:t>
      </w:r>
      <w:r w:rsidR="004C049C">
        <w:t>, 2017)</w:t>
      </w:r>
      <w:r>
        <w:rPr>
          <w:lang w:val="en-GB"/>
        </w:rPr>
        <w:t>. In essence, Daubert challenged the trial judges and the jury to think systematically like scientists.</w:t>
      </w:r>
    </w:p>
    <w:p w:rsidR="00F666EB" w:rsidRDefault="005629FB" w:rsidP="00F666EB">
      <w:pPr>
        <w:spacing w:before="240"/>
        <w:ind w:firstLine="720"/>
        <w:rPr>
          <w:lang w:val="en-GB"/>
        </w:rPr>
      </w:pPr>
      <w:r>
        <w:rPr>
          <w:lang w:val="en-GB"/>
        </w:rPr>
        <w:t xml:space="preserve">In </w:t>
      </w:r>
      <w:r w:rsidR="00BF3AA4">
        <w:rPr>
          <w:lang w:val="en-GB"/>
        </w:rPr>
        <w:t>their</w:t>
      </w:r>
      <w:r>
        <w:rPr>
          <w:lang w:val="en-GB"/>
        </w:rPr>
        <w:t xml:space="preserve"> role as gatekeepers to scientific evidence, Daubert challenged Judges to ensure that scientific evidence </w:t>
      </w:r>
      <w:r w:rsidR="00BF3AA4">
        <w:rPr>
          <w:lang w:val="en-GB"/>
        </w:rPr>
        <w:t>brought</w:t>
      </w:r>
      <w:r>
        <w:rPr>
          <w:lang w:val="en-GB"/>
        </w:rPr>
        <w:t xml:space="preserve"> in court meets reliability </w:t>
      </w:r>
      <w:r w:rsidR="00BF3AA4">
        <w:rPr>
          <w:lang w:val="en-GB"/>
        </w:rPr>
        <w:t>standards</w:t>
      </w:r>
      <w:r>
        <w:rPr>
          <w:lang w:val="en-GB"/>
        </w:rPr>
        <w:t xml:space="preserve"> which is the basis of all science</w:t>
      </w:r>
      <w:r w:rsidR="004C049C">
        <w:rPr>
          <w:lang w:val="en-GB"/>
        </w:rPr>
        <w:t xml:space="preserve"> (</w:t>
      </w:r>
      <w:r w:rsidR="004C049C" w:rsidRPr="004C049C">
        <w:t>Abboud</w:t>
      </w:r>
      <w:r w:rsidR="004C049C">
        <w:t>, 2017)</w:t>
      </w:r>
      <w:r>
        <w:rPr>
          <w:lang w:val="en-GB"/>
        </w:rPr>
        <w:t xml:space="preserve">. Any evidence that did not meet reliability </w:t>
      </w:r>
      <w:r w:rsidR="00BF3AA4">
        <w:rPr>
          <w:lang w:val="en-GB"/>
        </w:rPr>
        <w:t>standard</w:t>
      </w:r>
      <w:r>
        <w:rPr>
          <w:lang w:val="en-GB"/>
        </w:rPr>
        <w:t xml:space="preserve"> is thus not admissible to court. In assessing reliability, Daubert gave the judges criteria for examining the evidence. The judge was to determine whether the testimony of the expert brought in court can be tested. </w:t>
      </w:r>
      <w:r w:rsidR="007B789E">
        <w:rPr>
          <w:lang w:val="en-GB"/>
        </w:rPr>
        <w:t>He judge was to</w:t>
      </w:r>
      <w:r w:rsidR="00BF3AA4">
        <w:rPr>
          <w:lang w:val="en-GB"/>
        </w:rPr>
        <w:t xml:space="preserve"> determine whether the technique or evidence presented by the expert was reviewed or has been published. The expert should let the jury know the margin of error in the scientific evidence or technique. Lastly, the judge should determine whether the theory or technique presented is generally acceptable in the world of science.</w:t>
      </w:r>
    </w:p>
    <w:p w:rsidR="00CB38EB" w:rsidRDefault="005629FB" w:rsidP="00F666EB">
      <w:pPr>
        <w:spacing w:before="240"/>
        <w:ind w:firstLine="720"/>
        <w:rPr>
          <w:lang w:val="en-GB"/>
        </w:rPr>
      </w:pPr>
      <w:r>
        <w:rPr>
          <w:lang w:val="en-GB"/>
        </w:rPr>
        <w:lastRenderedPageBreak/>
        <w:t xml:space="preserve">Daubert required the court to perform hypothesis testing, which follows the scientific methods adopted by the court. Hypothesis testing is a process of deriving a proposition from </w:t>
      </w:r>
      <w:r w:rsidR="007B789E">
        <w:rPr>
          <w:lang w:val="en-GB"/>
        </w:rPr>
        <w:t xml:space="preserve">a </w:t>
      </w:r>
      <w:r>
        <w:rPr>
          <w:lang w:val="en-GB"/>
        </w:rPr>
        <w:t xml:space="preserve">group with similar characteristics guided by scientific principles of testing and data analysis. </w:t>
      </w:r>
      <w:r w:rsidR="007B789E">
        <w:rPr>
          <w:lang w:val="en-GB"/>
        </w:rPr>
        <w:t>Women</w:t>
      </w:r>
      <w:r w:rsidR="007E42EE">
        <w:rPr>
          <w:lang w:val="en-GB"/>
        </w:rPr>
        <w:t xml:space="preserve"> who were administered with the drug were a vital part of the data testing and research in the group. The error, which is a normal part of scientific investigation ought to be very small. Scientists admit the likelihood of being wrong and having an incorrect hypothesis</w:t>
      </w:r>
      <w:r w:rsidR="004C049C">
        <w:rPr>
          <w:lang w:val="en-GB"/>
        </w:rPr>
        <w:t xml:space="preserve"> (</w:t>
      </w:r>
      <w:r w:rsidR="004C049C" w:rsidRPr="004C049C">
        <w:t>Hawkins</w:t>
      </w:r>
      <w:r w:rsidR="004C049C">
        <w:t>, 2017)</w:t>
      </w:r>
      <w:r w:rsidR="007E42EE">
        <w:rPr>
          <w:lang w:val="en-GB"/>
        </w:rPr>
        <w:t xml:space="preserve">. It is thus very crucial that the plaintiff gives an overview of that information. Scientists propose that the potential error rate is below five per cent. </w:t>
      </w:r>
    </w:p>
    <w:p w:rsidR="000461BE" w:rsidRDefault="005629FB" w:rsidP="003D51CF">
      <w:pPr>
        <w:ind w:firstLine="720"/>
        <w:rPr>
          <w:lang w:val="en-GB"/>
        </w:rPr>
      </w:pPr>
      <w:r>
        <w:rPr>
          <w:lang w:val="en-GB"/>
        </w:rPr>
        <w:t xml:space="preserve">The Supreme Court adopted the use of peer-reviewed publication because, at that level, the scientific work has been sanctioned and is deemed as credible within science circles. Publishing the scientific work exposes it to the world of academia for scrutiny and review. Reviews may arise from scientists who are in agreement or disagreement with the published work. Well-conducted testing's with minimal error rates meets the reliability mark of evidence for admission in court. </w:t>
      </w:r>
    </w:p>
    <w:p w:rsidR="00BF3AA4" w:rsidRDefault="005629FB" w:rsidP="003D51CF">
      <w:pPr>
        <w:ind w:firstLine="720"/>
        <w:rPr>
          <w:lang w:val="en-GB"/>
        </w:rPr>
      </w:pPr>
      <w:r>
        <w:rPr>
          <w:lang w:val="en-GB"/>
        </w:rPr>
        <w:t>The Daubert case gave more profound meaning to the concept of evidence</w:t>
      </w:r>
      <w:r w:rsidR="004C049C">
        <w:rPr>
          <w:lang w:val="en-GB"/>
        </w:rPr>
        <w:t xml:space="preserve"> (</w:t>
      </w:r>
      <w:r w:rsidR="004C049C" w:rsidRPr="004C049C">
        <w:t>Abboud</w:t>
      </w:r>
      <w:r w:rsidR="004C049C">
        <w:t>, 2017)</w:t>
      </w:r>
      <w:r>
        <w:rPr>
          <w:lang w:val="en-GB"/>
        </w:rPr>
        <w:t>. Ideally</w:t>
      </w:r>
      <w:r w:rsidR="003C109A">
        <w:rPr>
          <w:lang w:val="en-GB"/>
        </w:rPr>
        <w:t>,</w:t>
      </w:r>
      <w:r>
        <w:rPr>
          <w:lang w:val="en-GB"/>
        </w:rPr>
        <w:t xml:space="preserve"> trials are a way of recollecting the events of the past in a way that they can be evaluated, morally or otherwise so that the legal system can determine their offence or lack of it. Judges thus require lawyers to assess the </w:t>
      </w:r>
      <w:r w:rsidR="007B789E">
        <w:rPr>
          <w:lang w:val="en-GB"/>
        </w:rPr>
        <w:t>events</w:t>
      </w:r>
      <w:r>
        <w:rPr>
          <w:lang w:val="en-GB"/>
        </w:rPr>
        <w:t xml:space="preserve"> that happened in the past</w:t>
      </w:r>
      <w:r w:rsidR="007B789E">
        <w:rPr>
          <w:lang w:val="en-GB"/>
        </w:rPr>
        <w:t xml:space="preserve"> and relate it</w:t>
      </w:r>
      <w:r>
        <w:rPr>
          <w:lang w:val="en-GB"/>
        </w:rPr>
        <w:t xml:space="preserve"> with present harm. After tabling of enough evidence, the judges are tasked with the responsibility of determining the case. Therefore, it is upon the judge to decide whether the evidence is reliable or not. </w:t>
      </w:r>
    </w:p>
    <w:p w:rsidR="00BF3AA4" w:rsidRDefault="005629FB" w:rsidP="003D51CF">
      <w:pPr>
        <w:ind w:firstLine="720"/>
        <w:rPr>
          <w:lang w:val="en-GB"/>
        </w:rPr>
      </w:pPr>
      <w:r>
        <w:rPr>
          <w:lang w:val="en-GB"/>
        </w:rPr>
        <w:t xml:space="preserve">The court will thus draw heavily from the philosophy of science which is premised on its ability to conduct a modern scientific inquiry. Crucial perspectives such as matching of the DNA samples through DNA testing, the connection between medicine and congenital </w:t>
      </w:r>
      <w:r>
        <w:rPr>
          <w:lang w:val="en-GB"/>
        </w:rPr>
        <w:lastRenderedPageBreak/>
        <w:t>disabilities and the financial aspect of it; fraud through epidemiology was critical</w:t>
      </w:r>
      <w:r w:rsidR="007E2A73">
        <w:rPr>
          <w:lang w:val="en-GB"/>
        </w:rPr>
        <w:t xml:space="preserve"> (</w:t>
      </w:r>
      <w:r w:rsidR="007E2A73">
        <w:t>Kebande</w:t>
      </w:r>
      <w:r w:rsidR="007E2A73" w:rsidRPr="004C049C">
        <w:t>&amp; Venter</w:t>
      </w:r>
      <w:r w:rsidR="007E2A73">
        <w:t>, 2019)</w:t>
      </w:r>
      <w:r>
        <w:rPr>
          <w:lang w:val="en-GB"/>
        </w:rPr>
        <w:t>. Science will then provide a framework that guides the analysis of all these disciplines to come up with concrete evidence.</w:t>
      </w:r>
      <w:r w:rsidR="008B526E">
        <w:rPr>
          <w:lang w:val="en-GB"/>
        </w:rPr>
        <w:t xml:space="preserve"> </w:t>
      </w:r>
      <w:r w:rsidR="00CB38EB">
        <w:rPr>
          <w:lang w:val="en-GB"/>
        </w:rPr>
        <w:t>Daubert was tasked to explain the connection between these scientific disciplines and the pharmaceutical company.</w:t>
      </w:r>
    </w:p>
    <w:p w:rsidR="00CB38EB" w:rsidRDefault="005629FB" w:rsidP="003D51CF">
      <w:pPr>
        <w:ind w:firstLine="720"/>
        <w:rPr>
          <w:lang w:val="en-GB"/>
        </w:rPr>
      </w:pPr>
      <w:r>
        <w:rPr>
          <w:lang w:val="en-GB"/>
        </w:rPr>
        <w:t>Before the Dauber case, a majority of courts relied on the Frye Vs United States</w:t>
      </w:r>
      <w:r w:rsidR="009443C5">
        <w:rPr>
          <w:lang w:val="en-GB"/>
        </w:rPr>
        <w:t xml:space="preserve"> decision that was made in 1923. The fryer decision had numerous inconsistencies concerning standards for admissibility of evidence in court. In 1975, congress established a framework that guided on fairness and integrity in the admission of evidence to the court.</w:t>
      </w:r>
      <w:r w:rsidR="00D65A69">
        <w:rPr>
          <w:lang w:val="en-GB"/>
        </w:rPr>
        <w:t xml:space="preserve"> When it comes to integrity and successful prosecution, it is import to consider a few guidelines.</w:t>
      </w:r>
    </w:p>
    <w:p w:rsidR="00143D06" w:rsidRDefault="005629FB" w:rsidP="003D51CF">
      <w:pPr>
        <w:ind w:firstLine="720"/>
        <w:rPr>
          <w:lang w:val="en-GB"/>
        </w:rPr>
      </w:pPr>
      <w:r>
        <w:rPr>
          <w:lang w:val="en-GB"/>
        </w:rPr>
        <w:t>Scientific literature should be cleared so that no room can be left for guesswork. A reference to peer-reviewed works in the presentation of scientific evidence guides on the acceptable boundaries</w:t>
      </w:r>
      <w:r w:rsidR="007E2A73">
        <w:rPr>
          <w:lang w:val="en-GB"/>
        </w:rPr>
        <w:t xml:space="preserve"> (</w:t>
      </w:r>
      <w:r w:rsidR="007E2A73">
        <w:t>Kebande</w:t>
      </w:r>
      <w:r w:rsidR="007E2A73" w:rsidRPr="004C049C">
        <w:t>&amp; Venter</w:t>
      </w:r>
      <w:r w:rsidR="007E2A73">
        <w:t>, 2019)</w:t>
      </w:r>
      <w:r>
        <w:rPr>
          <w:lang w:val="en-GB"/>
        </w:rPr>
        <w:t xml:space="preserve">. It helps the court to gain understanding and knowledge on the subject matter as well as the opinion of established experts. When it comes to measuring the integrity of the admissible expert, a published statement is the best ammunition to use. When such experts publish, they are subject to rigorous and thorough a scientific process that leaves no room for doubt. When the opinion of such experts meets the required standards, they </w:t>
      </w:r>
      <w:r w:rsidR="007B789E">
        <w:rPr>
          <w:lang w:val="en-GB"/>
        </w:rPr>
        <w:t>add more weight to the evidence</w:t>
      </w:r>
      <w:r>
        <w:rPr>
          <w:lang w:val="en-GB"/>
        </w:rPr>
        <w:t>.</w:t>
      </w:r>
    </w:p>
    <w:p w:rsidR="00143D06" w:rsidRDefault="005629FB" w:rsidP="003D51CF">
      <w:pPr>
        <w:ind w:firstLine="720"/>
        <w:rPr>
          <w:lang w:val="en-GB"/>
        </w:rPr>
      </w:pPr>
      <w:r>
        <w:rPr>
          <w:lang w:val="en-GB"/>
        </w:rPr>
        <w:t>Working within the required framework is essential in prosecuting your case. It is crucial to seek the guidance and direction of the judge for the successful prosecution of the case. After the</w:t>
      </w:r>
      <w:r w:rsidR="00973742">
        <w:rPr>
          <w:lang w:val="en-GB"/>
        </w:rPr>
        <w:t xml:space="preserve"> ruling on Daubert Case, a manual on presentation and admission of scientific evidence was developed</w:t>
      </w:r>
      <w:r w:rsidR="007E2A73">
        <w:rPr>
          <w:lang w:val="en-GB"/>
        </w:rPr>
        <w:t xml:space="preserve"> (</w:t>
      </w:r>
      <w:r w:rsidR="007E2A73" w:rsidRPr="004C049C">
        <w:t>Abboud</w:t>
      </w:r>
      <w:r w:rsidR="007E2A73">
        <w:t>, 2017)</w:t>
      </w:r>
      <w:r w:rsidR="00973742">
        <w:rPr>
          <w:lang w:val="en-GB"/>
        </w:rPr>
        <w:t>. The manual is now on its third edition and contains guides on expert testimony. It is essential to exploit that manu</w:t>
      </w:r>
      <w:r w:rsidR="007B789E">
        <w:rPr>
          <w:lang w:val="en-GB"/>
        </w:rPr>
        <w:t xml:space="preserve">al for guidance. </w:t>
      </w:r>
      <w:r w:rsidR="00973742">
        <w:rPr>
          <w:lang w:val="en-GB"/>
        </w:rPr>
        <w:t xml:space="preserve">The credibility of the expert must be without question. Therefore, scrutinizing the credentials of the expert is vital since it gives weight to their opinions. If </w:t>
      </w:r>
      <w:r w:rsidR="00E73864">
        <w:rPr>
          <w:lang w:val="en-GB"/>
        </w:rPr>
        <w:t>an expert</w:t>
      </w:r>
      <w:r w:rsidR="00973742">
        <w:rPr>
          <w:lang w:val="en-GB"/>
        </w:rPr>
        <w:t xml:space="preserve"> disregards the criteria and </w:t>
      </w:r>
      <w:r w:rsidR="00973742">
        <w:rPr>
          <w:lang w:val="en-GB"/>
        </w:rPr>
        <w:lastRenderedPageBreak/>
        <w:t>requirements</w:t>
      </w:r>
      <w:r w:rsidR="00E73864">
        <w:rPr>
          <w:lang w:val="en-GB"/>
        </w:rPr>
        <w:t xml:space="preserve"> of their regulating bodies, it is highly unlikely that they will follow due process in scientific evidence.</w:t>
      </w:r>
    </w:p>
    <w:p w:rsidR="00E73864" w:rsidRDefault="005629FB" w:rsidP="003D51CF">
      <w:pPr>
        <w:ind w:firstLine="720"/>
        <w:rPr>
          <w:lang w:val="en-GB"/>
        </w:rPr>
      </w:pPr>
      <w:r>
        <w:rPr>
          <w:lang w:val="en-GB"/>
        </w:rPr>
        <w:t>Opinions which are given without room for questioning may fail the integrity test. In science, nothing is without certainty. Expressly stating without room for scrutiny exposes the opinion to criticism and raises questions of unreliability</w:t>
      </w:r>
      <w:r w:rsidR="004C049C">
        <w:rPr>
          <w:lang w:val="en-GB"/>
        </w:rPr>
        <w:t xml:space="preserve"> (</w:t>
      </w:r>
      <w:r w:rsidR="004C049C">
        <w:t>Kebande</w:t>
      </w:r>
      <w:r w:rsidR="004C049C" w:rsidRPr="004C049C">
        <w:t>&amp; Venter</w:t>
      </w:r>
      <w:r w:rsidR="004C049C">
        <w:t>, 2019)</w:t>
      </w:r>
      <w:r>
        <w:rPr>
          <w:lang w:val="en-GB"/>
        </w:rPr>
        <w:t>. While preparing the testimony, it is essential to focus on the strength of the expert as it will help in building your case. Using the a</w:t>
      </w:r>
      <w:r w:rsidR="004C049C">
        <w:rPr>
          <w:lang w:val="en-GB"/>
        </w:rPr>
        <w:t>vailable Daubert case</w:t>
      </w:r>
      <w:r>
        <w:rPr>
          <w:lang w:val="en-GB"/>
        </w:rPr>
        <w:t xml:space="preserve"> as </w:t>
      </w:r>
      <w:r w:rsidR="004C049C">
        <w:rPr>
          <w:lang w:val="en-GB"/>
        </w:rPr>
        <w:t>guidelines is</w:t>
      </w:r>
      <w:r>
        <w:rPr>
          <w:lang w:val="en-GB"/>
        </w:rPr>
        <w:t xml:space="preserve"> critical in guaranteeing success. State laws are crucial</w:t>
      </w:r>
      <w:r w:rsidR="0018571C">
        <w:rPr>
          <w:lang w:val="en-GB"/>
        </w:rPr>
        <w:t xml:space="preserve"> in the admission and execution of scientific evidence. It is thus essential for the litigators to consider the state law and meet the burden of proof. </w:t>
      </w:r>
    </w:p>
    <w:p w:rsidR="004C049C" w:rsidRDefault="005629FB" w:rsidP="008B526E">
      <w:pPr>
        <w:ind w:firstLine="720"/>
        <w:rPr>
          <w:lang w:val="en-GB"/>
        </w:rPr>
      </w:pPr>
      <w:r>
        <w:rPr>
          <w:lang w:val="en-GB"/>
        </w:rPr>
        <w:t xml:space="preserve">The case of General Electric Co </w:t>
      </w:r>
      <w:r w:rsidR="00B10919">
        <w:rPr>
          <w:lang w:val="en-GB"/>
        </w:rPr>
        <w:t>vs</w:t>
      </w:r>
      <w:r>
        <w:rPr>
          <w:lang w:val="en-GB"/>
        </w:rPr>
        <w:t xml:space="preserve"> Joiner is an example that is similar to Daubert case. Joiner</w:t>
      </w:r>
      <w:r w:rsidR="00AD0BE5">
        <w:rPr>
          <w:lang w:val="en-GB"/>
        </w:rPr>
        <w:t xml:space="preserve"> was</w:t>
      </w:r>
      <w:r>
        <w:rPr>
          <w:lang w:val="en-GB"/>
        </w:rPr>
        <w:t xml:space="preserve"> 37 year</w:t>
      </w:r>
      <w:r w:rsidR="00AD0BE5">
        <w:rPr>
          <w:lang w:val="en-GB"/>
        </w:rPr>
        <w:t>s</w:t>
      </w:r>
      <w:r>
        <w:rPr>
          <w:lang w:val="en-GB"/>
        </w:rPr>
        <w:t xml:space="preserve"> old</w:t>
      </w:r>
      <w:r w:rsidR="00AD0BE5">
        <w:rPr>
          <w:lang w:val="en-GB"/>
        </w:rPr>
        <w:t xml:space="preserve"> when the filed the petition. The</w:t>
      </w:r>
      <w:r>
        <w:rPr>
          <w:lang w:val="en-GB"/>
        </w:rPr>
        <w:t xml:space="preserve"> plaintiff was a </w:t>
      </w:r>
      <w:r w:rsidR="00B10919">
        <w:rPr>
          <w:lang w:val="en-GB"/>
        </w:rPr>
        <w:t>long-time</w:t>
      </w:r>
      <w:r>
        <w:rPr>
          <w:lang w:val="en-GB"/>
        </w:rPr>
        <w:t xml:space="preserve"> smoker w</w:t>
      </w:r>
      <w:r w:rsidR="00AD0BE5">
        <w:rPr>
          <w:lang w:val="en-GB"/>
        </w:rPr>
        <w:t>hose lineage had a history</w:t>
      </w:r>
      <w:r>
        <w:rPr>
          <w:lang w:val="en-GB"/>
        </w:rPr>
        <w:t xml:space="preserve"> of lung cancer. He </w:t>
      </w:r>
      <w:r w:rsidR="00AD0BE5">
        <w:rPr>
          <w:lang w:val="en-GB"/>
        </w:rPr>
        <w:t>submitted</w:t>
      </w:r>
      <w:r>
        <w:rPr>
          <w:lang w:val="en-GB"/>
        </w:rPr>
        <w:t xml:space="preserve"> that his </w:t>
      </w:r>
      <w:r w:rsidR="00506EF5">
        <w:rPr>
          <w:lang w:val="en-GB"/>
        </w:rPr>
        <w:t>subjection</w:t>
      </w:r>
      <w:r>
        <w:rPr>
          <w:lang w:val="en-GB"/>
        </w:rPr>
        <w:t xml:space="preserve"> to PCBs had </w:t>
      </w:r>
      <w:r w:rsidR="00506EF5">
        <w:rPr>
          <w:lang w:val="en-GB"/>
        </w:rPr>
        <w:t>resulted</w:t>
      </w:r>
      <w:r>
        <w:rPr>
          <w:lang w:val="en-GB"/>
        </w:rPr>
        <w:t xml:space="preserve"> in the </w:t>
      </w:r>
      <w:r w:rsidR="00506EF5">
        <w:rPr>
          <w:lang w:val="en-GB"/>
        </w:rPr>
        <w:t>formation</w:t>
      </w:r>
      <w:r>
        <w:rPr>
          <w:lang w:val="en-GB"/>
        </w:rPr>
        <w:t xml:space="preserve"> of a small lung cancer cell. The trial court used the Daubert case trial </w:t>
      </w:r>
      <w:r w:rsidR="0042556B">
        <w:rPr>
          <w:lang w:val="en-GB"/>
        </w:rPr>
        <w:t>standard and</w:t>
      </w:r>
      <w:r>
        <w:rPr>
          <w:lang w:val="en-GB"/>
        </w:rPr>
        <w:t xml:space="preserve"> did not include the opinion of the experts. </w:t>
      </w:r>
      <w:r w:rsidR="00094F16">
        <w:rPr>
          <w:lang w:val="en-GB"/>
        </w:rPr>
        <w:t xml:space="preserve">The trial court dismissed the evidence and ruled against the plaintiff. </w:t>
      </w:r>
      <w:r>
        <w:rPr>
          <w:lang w:val="en-GB"/>
        </w:rPr>
        <w:t xml:space="preserve">The court of appeal </w:t>
      </w:r>
      <w:r w:rsidR="00506EF5">
        <w:rPr>
          <w:lang w:val="en-GB"/>
        </w:rPr>
        <w:t>overthrew</w:t>
      </w:r>
      <w:r>
        <w:rPr>
          <w:lang w:val="en-GB"/>
        </w:rPr>
        <w:t xml:space="preserve"> the decision</w:t>
      </w:r>
      <w:r w:rsidR="00506EF5">
        <w:rPr>
          <w:lang w:val="en-GB"/>
        </w:rPr>
        <w:t xml:space="preserve"> of the trial court</w:t>
      </w:r>
      <w:r>
        <w:rPr>
          <w:lang w:val="en-GB"/>
        </w:rPr>
        <w:t xml:space="preserve"> and admitted the </w:t>
      </w:r>
      <w:r w:rsidR="0042556B">
        <w:rPr>
          <w:lang w:val="en-GB"/>
        </w:rPr>
        <w:t>evidence. The plaintiff had argued about the reliability of the evidence since epidemiology studies demonstrated a correlation between the PCB and cancer.</w:t>
      </w:r>
      <w:r w:rsidR="00B10919">
        <w:rPr>
          <w:lang w:val="en-GB"/>
        </w:rPr>
        <w:t xml:space="preserve"> </w:t>
      </w:r>
      <w:r w:rsidR="0042556B">
        <w:rPr>
          <w:lang w:val="en-GB"/>
        </w:rPr>
        <w:t xml:space="preserve">Therefore, there was an error made by the trial court </w:t>
      </w:r>
      <w:r w:rsidR="008B526E">
        <w:rPr>
          <w:lang w:val="en-GB"/>
        </w:rPr>
        <w:t>by descanting</w:t>
      </w:r>
      <w:r w:rsidR="0042556B">
        <w:rPr>
          <w:lang w:val="en-GB"/>
        </w:rPr>
        <w:t xml:space="preserve"> reliable scientific evidence which needed to be </w:t>
      </w:r>
      <w:r w:rsidR="008B526E">
        <w:rPr>
          <w:lang w:val="en-GB"/>
        </w:rPr>
        <w:t>admitted</w:t>
      </w:r>
      <w:r w:rsidR="0042556B">
        <w:rPr>
          <w:lang w:val="en-GB"/>
        </w:rPr>
        <w:t xml:space="preserve"> following the ruling in Daubert case. However</w:t>
      </w:r>
      <w:r w:rsidR="00094F16">
        <w:rPr>
          <w:lang w:val="en-GB"/>
        </w:rPr>
        <w:t>, the</w:t>
      </w:r>
      <w:r w:rsidR="00B10919">
        <w:rPr>
          <w:lang w:val="en-GB"/>
        </w:rPr>
        <w:t xml:space="preserve"> Supreme Court upheld the trial court ruling</w:t>
      </w:r>
      <w:r w:rsidR="00094F16">
        <w:rPr>
          <w:lang w:val="en-GB"/>
        </w:rPr>
        <w:t>.</w:t>
      </w:r>
      <w:r w:rsidR="0042556B">
        <w:rPr>
          <w:lang w:val="en-GB"/>
        </w:rPr>
        <w:t xml:space="preserve"> It its response, the Supreme </w:t>
      </w:r>
      <w:r w:rsidR="008B526E">
        <w:rPr>
          <w:lang w:val="en-GB"/>
        </w:rPr>
        <w:t>Court</w:t>
      </w:r>
      <w:r w:rsidR="0042556B">
        <w:rPr>
          <w:lang w:val="en-GB"/>
        </w:rPr>
        <w:t xml:space="preserve"> noted that the plaintiff expert solely relied on a methodology which often works in risk assessment</w:t>
      </w:r>
      <w:r w:rsidR="008B526E">
        <w:rPr>
          <w:lang w:val="en-GB"/>
        </w:rPr>
        <w:t xml:space="preserve"> (</w:t>
      </w:r>
      <w:r w:rsidR="008B526E" w:rsidRPr="004C049C">
        <w:t>Hawkins</w:t>
      </w:r>
      <w:r w:rsidR="008B526E">
        <w:t>, 2017)</w:t>
      </w:r>
      <w:r w:rsidR="0042556B">
        <w:rPr>
          <w:lang w:val="en-GB"/>
        </w:rPr>
        <w:t xml:space="preserve">. Therefore, when the </w:t>
      </w:r>
      <w:r w:rsidR="008B526E">
        <w:rPr>
          <w:lang w:val="en-GB"/>
        </w:rPr>
        <w:t>trial</w:t>
      </w:r>
      <w:r w:rsidR="0042556B">
        <w:rPr>
          <w:lang w:val="en-GB"/>
        </w:rPr>
        <w:t xml:space="preserve"> court fails to admit such</w:t>
      </w:r>
      <w:r w:rsidR="008B526E">
        <w:rPr>
          <w:lang w:val="en-GB"/>
        </w:rPr>
        <w:t>, it does not abuse its discretion. As a result of the lack of consensus, judges were advised to employ techniques such as the opinion of scientific experts who can help them in making determinations of complex cases.</w:t>
      </w:r>
      <w:bookmarkStart w:id="0" w:name="_GoBack"/>
      <w:bookmarkEnd w:id="0"/>
    </w:p>
    <w:p w:rsidR="004C049C" w:rsidRPr="004C049C" w:rsidRDefault="004C049C" w:rsidP="003D51CF">
      <w:pPr>
        <w:ind w:firstLine="0"/>
        <w:jc w:val="center"/>
        <w:rPr>
          <w:b/>
          <w:lang w:val="en-GB"/>
        </w:rPr>
      </w:pPr>
      <w:r w:rsidRPr="004C049C">
        <w:rPr>
          <w:b/>
          <w:lang w:val="en-GB"/>
        </w:rPr>
        <w:lastRenderedPageBreak/>
        <w:t>Reference</w:t>
      </w:r>
      <w:r w:rsidR="003D51CF">
        <w:rPr>
          <w:b/>
          <w:lang w:val="en-GB"/>
        </w:rPr>
        <w:t>s</w:t>
      </w:r>
    </w:p>
    <w:p w:rsidR="004C049C" w:rsidRDefault="004C049C" w:rsidP="003D51CF">
      <w:pPr>
        <w:spacing w:after="0"/>
        <w:ind w:left="720" w:hanging="720"/>
      </w:pPr>
      <w:r w:rsidRPr="004C049C">
        <w:t>Abboud, A. (2017). Daubert v. Merrell Dow Pharmaceuticals, Inc.(1993). </w:t>
      </w:r>
      <w:r w:rsidRPr="004C049C">
        <w:rPr>
          <w:i/>
          <w:iCs/>
        </w:rPr>
        <w:t>Embryo Project Encyclopedia</w:t>
      </w:r>
      <w:r w:rsidRPr="004C049C">
        <w:t>.</w:t>
      </w:r>
    </w:p>
    <w:p w:rsidR="004C049C" w:rsidRPr="00BB5E41" w:rsidRDefault="004C049C" w:rsidP="003D51CF">
      <w:pPr>
        <w:spacing w:after="0"/>
        <w:ind w:left="720" w:hanging="720"/>
        <w:rPr>
          <w:lang w:val="en-GB"/>
        </w:rPr>
      </w:pPr>
      <w:r w:rsidRPr="004C049C">
        <w:t>Hawkins, D. (2017). Motion to Exclude Expert Daubert. </w:t>
      </w:r>
      <w:r w:rsidRPr="004C049C">
        <w:rPr>
          <w:i/>
          <w:iCs/>
        </w:rPr>
        <w:t>Wisconsin Law Journal</w:t>
      </w:r>
      <w:r w:rsidRPr="004C049C">
        <w:t>.</w:t>
      </w:r>
    </w:p>
    <w:p w:rsidR="008651AF" w:rsidRDefault="004C049C" w:rsidP="003D51CF">
      <w:pPr>
        <w:spacing w:after="0"/>
        <w:ind w:left="720" w:hanging="720"/>
      </w:pPr>
      <w:r w:rsidRPr="004C049C">
        <w:t>Kebande, V. R., &amp; Venter, H. S. (2019). A comparative analysis of digital forensic readiness models using CFRaaS as a baseline. </w:t>
      </w:r>
      <w:r w:rsidRPr="004C049C">
        <w:rPr>
          <w:i/>
          <w:iCs/>
        </w:rPr>
        <w:t>Wiley Interdisciplinary Reviews: Forensic Science</w:t>
      </w:r>
      <w:r w:rsidRPr="004C049C">
        <w:t>, </w:t>
      </w:r>
      <w:r w:rsidRPr="004C049C">
        <w:rPr>
          <w:i/>
          <w:iCs/>
        </w:rPr>
        <w:t>1</w:t>
      </w:r>
      <w:r w:rsidRPr="004C049C">
        <w:t>(6), e1350.</w:t>
      </w:r>
    </w:p>
    <w:p w:rsidR="008651AF" w:rsidRDefault="008651AF" w:rsidP="008651AF"/>
    <w:p w:rsidR="004C049C" w:rsidRPr="008651AF" w:rsidRDefault="004C049C" w:rsidP="008651AF">
      <w:pPr>
        <w:jc w:val="center"/>
      </w:pPr>
    </w:p>
    <w:sectPr w:rsidR="004C049C" w:rsidRPr="008651AF" w:rsidSect="008651AF">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30D8" w:rsidRDefault="00A630D8" w:rsidP="000B53F8">
      <w:pPr>
        <w:spacing w:after="0" w:line="240" w:lineRule="auto"/>
      </w:pPr>
      <w:r>
        <w:separator/>
      </w:r>
    </w:p>
  </w:endnote>
  <w:endnote w:type="continuationSeparator" w:id="1">
    <w:p w:rsidR="00A630D8" w:rsidRDefault="00A630D8" w:rsidP="000B53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30D8" w:rsidRDefault="00A630D8" w:rsidP="000B53F8">
      <w:pPr>
        <w:spacing w:after="0" w:line="240" w:lineRule="auto"/>
      </w:pPr>
      <w:r>
        <w:separator/>
      </w:r>
    </w:p>
  </w:footnote>
  <w:footnote w:type="continuationSeparator" w:id="1">
    <w:p w:rsidR="00A630D8" w:rsidRDefault="00A630D8" w:rsidP="000B53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9054964"/>
      <w:docPartObj>
        <w:docPartGallery w:val="Page Numbers (Top of Page)"/>
        <w:docPartUnique/>
      </w:docPartObj>
    </w:sdtPr>
    <w:sdtEndPr>
      <w:rPr>
        <w:noProof/>
      </w:rPr>
    </w:sdtEndPr>
    <w:sdtContent>
      <w:p w:rsidR="008651AF" w:rsidRDefault="00175A0B">
        <w:pPr>
          <w:pStyle w:val="Header"/>
          <w:jc w:val="right"/>
        </w:pPr>
        <w:r>
          <w:fldChar w:fldCharType="begin"/>
        </w:r>
        <w:r w:rsidR="008651AF">
          <w:instrText xml:space="preserve"> PAGE   \* MERGEFORMAT </w:instrText>
        </w:r>
        <w:r>
          <w:fldChar w:fldCharType="separate"/>
        </w:r>
        <w:r w:rsidR="008B526E">
          <w:rPr>
            <w:noProof/>
          </w:rPr>
          <w:t>6</w:t>
        </w:r>
        <w:r>
          <w:rPr>
            <w:noProof/>
          </w:rPr>
          <w:fldChar w:fldCharType="end"/>
        </w:r>
      </w:p>
    </w:sdtContent>
  </w:sdt>
  <w:p w:rsidR="00E73864" w:rsidRDefault="00E738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B5E41"/>
    <w:rsid w:val="00003BA8"/>
    <w:rsid w:val="000461BE"/>
    <w:rsid w:val="00094F16"/>
    <w:rsid w:val="000B53F8"/>
    <w:rsid w:val="000C07AA"/>
    <w:rsid w:val="000E596B"/>
    <w:rsid w:val="00143D06"/>
    <w:rsid w:val="00166AEE"/>
    <w:rsid w:val="00175A0B"/>
    <w:rsid w:val="0018571C"/>
    <w:rsid w:val="00197CCB"/>
    <w:rsid w:val="001A039A"/>
    <w:rsid w:val="002923EB"/>
    <w:rsid w:val="00375EAD"/>
    <w:rsid w:val="0039361F"/>
    <w:rsid w:val="003C109A"/>
    <w:rsid w:val="003D51CF"/>
    <w:rsid w:val="003F0A0E"/>
    <w:rsid w:val="004070E7"/>
    <w:rsid w:val="0042556B"/>
    <w:rsid w:val="0047215C"/>
    <w:rsid w:val="00493C93"/>
    <w:rsid w:val="004C049C"/>
    <w:rsid w:val="004C6373"/>
    <w:rsid w:val="004E5C2C"/>
    <w:rsid w:val="00506EF5"/>
    <w:rsid w:val="005629FB"/>
    <w:rsid w:val="005E28EF"/>
    <w:rsid w:val="00694CAE"/>
    <w:rsid w:val="006D6F90"/>
    <w:rsid w:val="007116B3"/>
    <w:rsid w:val="00716AB4"/>
    <w:rsid w:val="00730E97"/>
    <w:rsid w:val="0074460F"/>
    <w:rsid w:val="007B789E"/>
    <w:rsid w:val="007E2A73"/>
    <w:rsid w:val="007E42EE"/>
    <w:rsid w:val="008651AF"/>
    <w:rsid w:val="008B526E"/>
    <w:rsid w:val="008F611C"/>
    <w:rsid w:val="009443C5"/>
    <w:rsid w:val="00973742"/>
    <w:rsid w:val="00A257B6"/>
    <w:rsid w:val="00A26D6E"/>
    <w:rsid w:val="00A41D95"/>
    <w:rsid w:val="00A630D8"/>
    <w:rsid w:val="00AC7E9B"/>
    <w:rsid w:val="00AD0BE5"/>
    <w:rsid w:val="00B10919"/>
    <w:rsid w:val="00B9267C"/>
    <w:rsid w:val="00BB5E41"/>
    <w:rsid w:val="00BF3AA4"/>
    <w:rsid w:val="00CB38EB"/>
    <w:rsid w:val="00D11A94"/>
    <w:rsid w:val="00D65A69"/>
    <w:rsid w:val="00DE458F"/>
    <w:rsid w:val="00DF387F"/>
    <w:rsid w:val="00E15D13"/>
    <w:rsid w:val="00E21FF7"/>
    <w:rsid w:val="00E73864"/>
    <w:rsid w:val="00E9664D"/>
    <w:rsid w:val="00EA018C"/>
    <w:rsid w:val="00EB66C0"/>
    <w:rsid w:val="00F666EB"/>
    <w:rsid w:val="00F86ABE"/>
    <w:rsid w:val="00F86AF5"/>
    <w:rsid w:val="00FC3E4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E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E41"/>
    <w:rPr>
      <w:lang w:val="en-US"/>
    </w:rPr>
  </w:style>
  <w:style w:type="paragraph" w:styleId="Footer">
    <w:name w:val="footer"/>
    <w:basedOn w:val="Normal"/>
    <w:link w:val="FooterChar"/>
    <w:uiPriority w:val="99"/>
    <w:unhideWhenUsed/>
    <w:rsid w:val="00BB5E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E41"/>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1605</Words>
  <Characters>9151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ADHIAMBO</cp:lastModifiedBy>
  <cp:revision>9</cp:revision>
  <dcterms:created xsi:type="dcterms:W3CDTF">2020-09-02T18:19:00Z</dcterms:created>
  <dcterms:modified xsi:type="dcterms:W3CDTF">2020-09-02T19:58:00Z</dcterms:modified>
</cp:coreProperties>
</file>